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317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Королёва Дмитрия Леонидовича, </w:t>
      </w:r>
      <w:r>
        <w:rPr>
          <w:rStyle w:val="cat-ExternalSystemDefinedgrp-54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ГСК «Водник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45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6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Королёв Д.Л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ГСК «Водник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НП Промышленная зона Пионерная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>, строение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 в установленный законодательством РФ срок 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14.07</w:t>
      </w:r>
      <w:r>
        <w:rPr>
          <w:rFonts w:ascii="Times New Roman" w:eastAsia="Times New Roman" w:hAnsi="Times New Roman" w:cs="Times New Roman"/>
          <w:sz w:val="28"/>
          <w:szCs w:val="28"/>
        </w:rPr>
        <w:t>.2023, вместо 25.04.2023, чем нарушил ст. 17, ст. 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Королёв Д.Л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явился, </w:t>
      </w:r>
      <w:r>
        <w:rPr>
          <w:rFonts w:ascii="Times New Roman" w:eastAsia="Times New Roman" w:hAnsi="Times New Roman" w:cs="Times New Roman"/>
          <w:sz w:val="28"/>
          <w:szCs w:val="28"/>
        </w:rPr>
        <w:t>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дело 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отсутствие, с правонарушением соглас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следует из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Королёв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его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Королёв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8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Королёв Д.Л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 в установленный законодательством РФ срок сведения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извещением о вызове должностного лица,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05.02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и уголовной ответственности за нарушения требований настоящего Федерального закона осуществляется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Королёв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лица, привлекаемого к административной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ГСК «Водник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Королёва Дмитрия Леонидовича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>
        <w:rPr>
          <w:rFonts w:ascii="Times New Roman" w:eastAsia="Times New Roman" w:hAnsi="Times New Roman" w:cs="Times New Roman"/>
          <w:sz w:val="28"/>
          <w:szCs w:val="28"/>
        </w:rPr>
        <w:t>: Банк получателя - РКЦ Ханты-Мансийск//УФК по Ханты- Мансийскому автономному округу - Югре г. Ханты-Мансийск, БИК ТОФК –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79711601230060003140 Административные штрафы, предусмотренные ч. 2 ст. 15.10, ст. 15.32, ст. 15.33 КоАП РФ (в части обязательного социального страхования от несчастных случаев на производстве и профессиональных заболеваний). В назначении платежа указать - Денежные взыскания на обязательное социальное страхование от НС и ПЗ, предусмотренные за нарушение статьи 15.33 КоАП, ФИО</w:t>
      </w:r>
      <w:r>
        <w:rPr>
          <w:rFonts w:ascii="Times New Roman" w:eastAsia="Times New Roman" w:hAnsi="Times New Roman" w:cs="Times New Roman"/>
          <w:sz w:val="28"/>
          <w:szCs w:val="28"/>
        </w:rPr>
        <w:t>, УИН 79786002</w:t>
      </w:r>
      <w:r>
        <w:rPr>
          <w:rFonts w:ascii="Times New Roman" w:eastAsia="Times New Roman" w:hAnsi="Times New Roman" w:cs="Times New Roman"/>
          <w:sz w:val="28"/>
          <w:szCs w:val="28"/>
        </w:rPr>
        <w:t>202240059515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Строка 240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времени и места рассмотрения дела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Агзямова Р.В.,</w:t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Королёва Дмитрия Леонидовича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признакам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15.33 </w:t>
      </w:r>
      <w:r>
        <w:rPr>
          <w:rFonts w:ascii="Times New Roman" w:eastAsia="Times New Roman" w:hAnsi="Times New Roman" w:cs="Times New Roman"/>
          <w:sz w:val="28"/>
          <w:szCs w:val="28"/>
        </w:rPr>
        <w:t>КоАП РФ,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 Дмитрия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в соответствии с требованиями ст. 28.2 КоАП РФ. Обстоятельств, исключающих производство по административному делу, не усматривается. Имеющихся материалов для рассмотрения дела достаточно.</w:t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Данное дело об административном правонарушении подлежит рассмотрению мировым судьей судебного участка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ч.1 ст. 29.4 КоАП РФ, при подготовке к рассмотрению дела, в случае необходимости выноситься определение о назначении времени и места рассмотрения дела, об отложении рассмотрения дела, вызове лиц и др.</w:t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руководствуясь ст. 29.1, ст. 29.4КоАП РФ,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дело об административном правонарушении к своему производству.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Королёва Дмитрия Леонидовича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признакам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15.33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назначить на «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«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» часов «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0» минут, в помещении Мирового судьи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по адресу: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30,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22.</w:t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Вызвать на рассмотрение лицо, в отношении которого ведется производство по делу об административном правонарушении.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ind w:left="567"/>
        <w:rPr>
          <w:sz w:val="22"/>
          <w:szCs w:val="22"/>
        </w:rPr>
      </w:pPr>
    </w:p>
    <w:p>
      <w:pPr>
        <w:spacing w:before="0" w:after="0"/>
        <w:ind w:left="567"/>
        <w:rPr>
          <w:sz w:val="22"/>
          <w:szCs w:val="22"/>
        </w:rPr>
      </w:pPr>
    </w:p>
    <w:p>
      <w:pPr>
        <w:spacing w:before="0" w:after="0"/>
        <w:ind w:left="567"/>
        <w:rPr>
          <w:sz w:val="22"/>
          <w:szCs w:val="22"/>
        </w:rPr>
      </w:pPr>
    </w:p>
    <w:p>
      <w:pPr>
        <w:spacing w:before="0" w:after="0"/>
        <w:ind w:left="567"/>
        <w:rPr>
          <w:sz w:val="22"/>
          <w:szCs w:val="22"/>
        </w:rPr>
      </w:pP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77"/>
        <w:gridCol w:w="5647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851" w:hanging="851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  <w:p>
            <w:pPr>
              <w:spacing w:before="0" w:after="0"/>
              <w:ind w:left="851" w:hanging="851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2"/>
                <w:szCs w:val="12"/>
              </w:rPr>
            </w:pPr>
          </w:p>
          <w:p>
            <w:pPr>
              <w:spacing w:before="0" w:after="0"/>
              <w:ind w:left="567" w:firstLine="366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РОССИЙСКАЯ ФЕДЕРАЦИЯ </w:t>
            </w:r>
          </w:p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ХАНТЫ-МАНСИЙСКИЙ АВТОНОМНЫЙ 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ОКРУГ-ЮГРА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СУДЕБНЫЙ УЧАСТОК № 3</w:t>
            </w:r>
          </w:p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НЕФТЕЮГАНСКОГО СУДЕБНОГО РАЙОНА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МИРОВОЙ СУДЬЯ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мкр.1, дом 30, г. Нефтеюганск,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Ханты-Мансийский автономный округ-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Тюменская область, 628309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Телефон: 8(3463) 22-31-86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Телефон/факс 8 (3463)22-32-93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Е-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mail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nefteugansk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3@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mirsud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86.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ru</w:t>
            </w:r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.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mirsud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86.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ru</w:t>
              </w:r>
            </w:hyperlink>
          </w:p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ind w:left="567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_________№ _________/5-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-200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 </w:t>
            </w:r>
          </w:p>
          <w:p>
            <w:pPr>
              <w:spacing w:before="0" w:after="0"/>
              <w:ind w:left="567" w:firstLine="317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фонда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Пенсионного </w:t>
            </w:r>
          </w:p>
          <w:p>
            <w:pPr>
              <w:spacing w:before="0" w:after="0"/>
              <w:ind w:left="567" w:firstLine="317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и Социального страхования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РФ </w:t>
            </w:r>
          </w:p>
          <w:p>
            <w:pPr>
              <w:spacing w:before="0" w:after="0"/>
              <w:ind w:left="567" w:firstLine="317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ХМАО-Югр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before="0" w:after="0"/>
              <w:ind w:left="567" w:firstLine="317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мкр.ю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 д. 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, г. Нефтеюганск</w:t>
            </w:r>
          </w:p>
          <w:p>
            <w:pPr>
              <w:spacing w:before="0" w:after="0"/>
              <w:ind w:left="567" w:firstLine="31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ind w:left="567" w:firstLine="31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 </w:t>
            </w:r>
          </w:p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ind w:left="567" w:firstLine="31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ind w:left="567" w:firstLine="317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Королёв Дмитрий Леонидович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, </w:t>
            </w:r>
          </w:p>
          <w:p>
            <w:pPr>
              <w:spacing w:before="0" w:after="0"/>
              <w:ind w:left="567" w:firstLine="317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ХМАО-Югра, г. Нефтеюганск, </w:t>
            </w:r>
          </w:p>
          <w:p>
            <w:pPr>
              <w:spacing w:before="0" w:after="0"/>
              <w:ind w:left="567" w:firstLine="317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мкр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д. 21, кв. 47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, </w:t>
            </w:r>
          </w:p>
          <w:p>
            <w:pPr>
              <w:spacing w:before="0" w:after="0"/>
              <w:ind w:left="567" w:firstLine="317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widowControl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 Вам копию постановления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Королёва Дмитрия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15.33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РФ, для сведения. </w:t>
      </w:r>
    </w:p>
    <w:p>
      <w:pPr>
        <w:spacing w:before="0" w:after="0" w:line="360" w:lineRule="auto"/>
        <w:ind w:firstLine="709"/>
        <w:rPr>
          <w:sz w:val="12"/>
          <w:szCs w:val="12"/>
        </w:rPr>
      </w:pPr>
    </w:p>
    <w:p>
      <w:pPr>
        <w:spacing w:before="0" w:after="0" w:line="360" w:lineRule="auto"/>
        <w:ind w:firstLine="709"/>
        <w:rPr>
          <w:sz w:val="28"/>
          <w:szCs w:val="28"/>
        </w:rPr>
      </w:pPr>
    </w:p>
    <w:p>
      <w:pPr>
        <w:spacing w:before="0" w:after="0" w:line="276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копия постановления.</w:t>
      </w:r>
    </w:p>
    <w:p>
      <w:pPr>
        <w:spacing w:before="0" w:after="0" w:line="360" w:lineRule="auto"/>
        <w:ind w:firstLine="709"/>
        <w:rPr>
          <w:sz w:val="28"/>
          <w:szCs w:val="28"/>
        </w:rPr>
      </w:pPr>
    </w:p>
    <w:p>
      <w:pPr>
        <w:spacing w:before="0" w:after="0" w:line="360" w:lineRule="auto"/>
        <w:ind w:firstLine="851"/>
        <w:rPr>
          <w:sz w:val="28"/>
          <w:szCs w:val="28"/>
        </w:rPr>
      </w:pPr>
    </w:p>
    <w:p>
      <w:pPr>
        <w:spacing w:before="0" w:after="0" w:line="360" w:lineRule="auto"/>
        <w:ind w:firstLine="851"/>
        <w:rPr>
          <w:sz w:val="28"/>
          <w:szCs w:val="28"/>
        </w:rPr>
      </w:pPr>
    </w:p>
    <w:p>
      <w:pPr>
        <w:spacing w:before="0" w:after="0"/>
        <w:ind w:firstLine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</w:p>
    <w:p>
      <w:pPr>
        <w:spacing w:before="0" w:after="0"/>
        <w:ind w:firstLine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426"/>
        <w:rPr>
          <w:sz w:val="28"/>
          <w:szCs w:val="28"/>
        </w:rPr>
      </w:pPr>
    </w:p>
    <w:p>
      <w:pPr>
        <w:spacing w:before="0" w:after="0"/>
        <w:ind w:firstLine="426"/>
        <w:rPr>
          <w:sz w:val="28"/>
          <w:szCs w:val="28"/>
        </w:rPr>
      </w:pPr>
    </w:p>
    <w:p>
      <w:pPr>
        <w:spacing w:before="0" w:after="0"/>
        <w:ind w:firstLine="426"/>
        <w:rPr>
          <w:sz w:val="26"/>
          <w:szCs w:val="26"/>
        </w:rPr>
      </w:pPr>
    </w:p>
    <w:p>
      <w:pPr>
        <w:spacing w:before="0" w:after="0"/>
        <w:ind w:firstLine="426"/>
        <w:rPr>
          <w:sz w:val="26"/>
          <w:szCs w:val="26"/>
        </w:rPr>
      </w:pPr>
    </w:p>
    <w:p>
      <w:pPr>
        <w:spacing w:before="0" w:after="0"/>
        <w:ind w:firstLine="426"/>
        <w:rPr>
          <w:sz w:val="26"/>
          <w:szCs w:val="26"/>
        </w:rPr>
      </w:pPr>
    </w:p>
    <w:p>
      <w:pPr>
        <w:spacing w:before="0" w:after="0"/>
        <w:ind w:firstLine="426"/>
        <w:rPr>
          <w:sz w:val="26"/>
          <w:szCs w:val="26"/>
        </w:rPr>
      </w:pPr>
    </w:p>
    <w:p>
      <w:pPr>
        <w:spacing w:before="0" w:after="0"/>
        <w:ind w:firstLine="426"/>
        <w:rPr>
          <w:sz w:val="26"/>
          <w:szCs w:val="26"/>
        </w:rPr>
      </w:pPr>
    </w:p>
    <w:p>
      <w:pPr>
        <w:spacing w:before="0" w:after="0"/>
        <w:ind w:firstLine="426"/>
        <w:rPr>
          <w:sz w:val="26"/>
          <w:szCs w:val="26"/>
        </w:rPr>
      </w:pPr>
    </w:p>
    <w:p>
      <w:pPr>
        <w:spacing w:before="0" w:after="0"/>
        <w:ind w:firstLine="426"/>
        <w:rPr>
          <w:sz w:val="26"/>
          <w:szCs w:val="26"/>
        </w:rPr>
      </w:pPr>
    </w:p>
    <w:p>
      <w:pPr>
        <w:spacing w:before="0" w:after="0"/>
        <w:ind w:firstLine="426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Исп. помощник мирового судьи</w:t>
      </w:r>
    </w:p>
    <w:p>
      <w:pPr>
        <w:spacing w:before="0" w:after="0"/>
        <w:ind w:firstLine="426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Немойкина Елена Александровна</w:t>
      </w:r>
    </w:p>
    <w:p>
      <w:pPr>
        <w:spacing w:before="0" w:after="0"/>
        <w:ind w:firstLine="426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 (3463) 22-32-10</w:t>
      </w:r>
    </w:p>
    <w:p>
      <w:pPr>
        <w:spacing w:before="0" w:after="0"/>
        <w:ind w:firstLine="851"/>
        <w:rPr>
          <w:sz w:val="22"/>
          <w:szCs w:val="22"/>
        </w:rPr>
      </w:pPr>
    </w:p>
    <w:p>
      <w:pPr>
        <w:spacing w:before="0" w:after="0"/>
        <w:ind w:left="567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4rplc-6">
    <w:name w:val="cat-ExternalSystemDefined grp-54 rplc-6"/>
    <w:basedOn w:val="DefaultParagraphFont"/>
  </w:style>
  <w:style w:type="character" w:customStyle="1" w:styleId="cat-PassportDatagrp-44rplc-7">
    <w:name w:val="cat-PassportData grp-44 rplc-7"/>
    <w:basedOn w:val="DefaultParagraphFont"/>
  </w:style>
  <w:style w:type="character" w:customStyle="1" w:styleId="cat-UserDefinedgrp-57rplc-9">
    <w:name w:val="cat-UserDefined grp-57 rplc-9"/>
    <w:basedOn w:val="DefaultParagraphFont"/>
  </w:style>
  <w:style w:type="character" w:customStyle="1" w:styleId="cat-PassportDatagrp-45rplc-11">
    <w:name w:val="cat-PassportData grp-45 rplc-11"/>
    <w:basedOn w:val="DefaultParagraphFont"/>
  </w:style>
  <w:style w:type="character" w:customStyle="1" w:styleId="cat-ExternalSystemDefinedgrp-55rplc-12">
    <w:name w:val="cat-ExternalSystemDefined grp-55 rplc-12"/>
    <w:basedOn w:val="DefaultParagraphFont"/>
  </w:style>
  <w:style w:type="character" w:customStyle="1" w:styleId="cat-ExternalSystemDefinedgrp-56rplc-13">
    <w:name w:val="cat-ExternalSystemDefined grp-56 rplc-13"/>
    <w:basedOn w:val="DefaultParagraphFont"/>
  </w:style>
  <w:style w:type="character" w:customStyle="1" w:styleId="cat-UserDefinedgrp-58rplc-28">
    <w:name w:val="cat-UserDefined grp-58 rplc-28"/>
    <w:basedOn w:val="DefaultParagraphFont"/>
  </w:style>
  <w:style w:type="character" w:customStyle="1" w:styleId="cat-UserDefinedgrp-59rplc-52">
    <w:name w:val="cat-UserDefined grp-59 rplc-52"/>
    <w:basedOn w:val="DefaultParagraphFont"/>
  </w:style>
  <w:style w:type="character" w:customStyle="1" w:styleId="cat-UserDefinedgrp-60rplc-55">
    <w:name w:val="cat-UserDefined grp-6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